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rPr>
      </w:pPr>
      <w:r>
        <w:rPr>
          <w:rFonts w:ascii="Times New Roman" w:cs="Times New Roman" w:hAnsi="Times New Roman"/>
        </w:rPr>
        <w:t>set of principles</w:t>
      </w:r>
    </w:p>
    <w:p>
      <w:pPr>
        <w:pStyle w:val="style179"/>
        <w:numPr>
          <w:ilvl w:val="0"/>
          <w:numId w:val="1"/>
        </w:numPr>
        <w:rPr>
          <w:rFonts w:ascii="Times New Roman" w:cs="Times New Roman" w:hAnsi="Times New Roman"/>
        </w:rPr>
      </w:pPr>
      <w:r>
        <w:rPr>
          <w:rFonts w:ascii="Times New Roman" w:cs="Times New Roman" w:hAnsi="Times New Roman"/>
        </w:rPr>
        <w:t xml:space="preserve">Artworks are always about something </w:t>
      </w:r>
    </w:p>
    <w:p>
      <w:pPr>
        <w:pStyle w:val="style179"/>
        <w:numPr>
          <w:ilvl w:val="0"/>
          <w:numId w:val="1"/>
        </w:numPr>
        <w:rPr>
          <w:rFonts w:ascii="Times New Roman" w:cs="Times New Roman" w:hAnsi="Times New Roman"/>
        </w:rPr>
      </w:pPr>
      <w:r>
        <w:rPr>
          <w:rFonts w:ascii="Times New Roman" w:cs="Times New Roman" w:hAnsi="Times New Roman"/>
        </w:rPr>
        <w:t xml:space="preserve">subject matter + medium + Form +Context = Meaning </w:t>
      </w:r>
    </w:p>
    <w:p>
      <w:pPr>
        <w:pStyle w:val="style179"/>
        <w:numPr>
          <w:ilvl w:val="0"/>
          <w:numId w:val="1"/>
        </w:numPr>
        <w:rPr>
          <w:rFonts w:ascii="Times New Roman" w:cs="Times New Roman" w:hAnsi="Times New Roman"/>
        </w:rPr>
      </w:pPr>
      <w:r>
        <w:rPr>
          <w:rFonts w:ascii="Times New Roman" w:cs="Times New Roman" w:hAnsi="Times New Roman"/>
        </w:rPr>
        <w:t>To interpret a work of art is to understand it in language.</w:t>
      </w:r>
    </w:p>
    <w:p>
      <w:pPr>
        <w:pStyle w:val="style179"/>
        <w:numPr>
          <w:ilvl w:val="0"/>
          <w:numId w:val="1"/>
        </w:numPr>
        <w:rPr>
          <w:rFonts w:ascii="Times New Roman" w:cs="Times New Roman" w:hAnsi="Times New Roman"/>
        </w:rPr>
      </w:pPr>
      <w:r>
        <w:rPr>
          <w:rFonts w:ascii="Times New Roman" w:cs="Times New Roman" w:hAnsi="Times New Roman"/>
        </w:rPr>
        <w:t>Feeling are guides to interpretation</w:t>
      </w:r>
      <w:r>
        <w:rPr>
          <w:rFonts w:ascii="Times New Roman" w:cs="Times New Roman" w:hAnsi="Times New Roman"/>
        </w:rPr>
        <w:t>.</w:t>
      </w:r>
    </w:p>
    <w:p>
      <w:pPr>
        <w:pStyle w:val="style179"/>
        <w:numPr>
          <w:ilvl w:val="0"/>
          <w:numId w:val="1"/>
        </w:numPr>
        <w:rPr>
          <w:rFonts w:ascii="Times New Roman" w:cs="Times New Roman" w:hAnsi="Times New Roman"/>
        </w:rPr>
      </w:pPr>
      <w:r>
        <w:rPr>
          <w:rFonts w:ascii="Times New Roman" w:cs="Times New Roman" w:hAnsi="Times New Roman"/>
        </w:rPr>
        <w:t xml:space="preserve"> the critical activities of describing, analyzing, interpreting, judging, and theorizing about works of art are interrelated and interdependent.</w:t>
      </w:r>
    </w:p>
    <w:p>
      <w:pPr>
        <w:pStyle w:val="style179"/>
        <w:numPr>
          <w:ilvl w:val="0"/>
          <w:numId w:val="1"/>
        </w:numPr>
        <w:rPr>
          <w:rFonts w:ascii="Times New Roman" w:cs="Times New Roman" w:hAnsi="Times New Roman"/>
        </w:rPr>
      </w:pPr>
      <w:r>
        <w:rPr>
          <w:rFonts w:ascii="Times New Roman" w:cs="Times New Roman" w:hAnsi="Times New Roman"/>
        </w:rPr>
        <w:t>artworks attract multiple interpretations and it is not the goal of the interpretation to arrive at single, grand, unified, composite interpretations.</w:t>
      </w:r>
    </w:p>
    <w:p>
      <w:pPr>
        <w:pStyle w:val="style179"/>
        <w:numPr>
          <w:ilvl w:val="0"/>
          <w:numId w:val="1"/>
        </w:numPr>
        <w:rPr>
          <w:rFonts w:ascii="Times New Roman" w:cs="Times New Roman" w:hAnsi="Times New Roman"/>
        </w:rPr>
      </w:pPr>
      <w:r>
        <w:rPr>
          <w:rFonts w:ascii="Times New Roman" w:cs="Times New Roman" w:hAnsi="Times New Roman"/>
        </w:rPr>
        <w:t>There is a range of interpretations any artworks will allow.</w:t>
      </w:r>
    </w:p>
    <w:p>
      <w:pPr>
        <w:pStyle w:val="style179"/>
        <w:numPr>
          <w:ilvl w:val="0"/>
          <w:numId w:val="1"/>
        </w:numPr>
        <w:rPr>
          <w:rFonts w:ascii="Times New Roman" w:cs="Times New Roman" w:hAnsi="Times New Roman"/>
        </w:rPr>
      </w:pPr>
      <w:r>
        <w:rPr>
          <w:rFonts w:ascii="Times New Roman" w:cs="Times New Roman" w:hAnsi="Times New Roman"/>
        </w:rPr>
        <w:t>Meaning of the artworks is not limited to what their artists intended them to mean.</w:t>
      </w:r>
    </w:p>
    <w:p>
      <w:pPr>
        <w:pStyle w:val="style179"/>
        <w:numPr>
          <w:ilvl w:val="0"/>
          <w:numId w:val="1"/>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rPr>
          <w:rFonts w:ascii="Times New Roman" w:cs="Times New Roman" w:hAnsi="Times New Roman"/>
        </w:rPr>
      </w:pPr>
      <w:r>
        <w:rPr>
          <w:rFonts w:ascii="Times New Roman" w:cs="Times New Roman" w:hAnsi="Times New Roman"/>
        </w:rPr>
        <w:t xml:space="preserve">interpretations are not so much right, but are more or less reasonable, convincing, informative, and enlightening </w:t>
      </w:r>
    </w:p>
    <w:p>
      <w:pPr>
        <w:pStyle w:val="style179"/>
        <w:numPr>
          <w:ilvl w:val="0"/>
          <w:numId w:val="1"/>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rPr>
          <w:rFonts w:ascii="Times New Roman" w:cs="Times New Roman" w:hAnsi="Times New Roman"/>
        </w:rPr>
      </w:pPr>
      <w:r>
        <w:rPr>
          <w:rFonts w:ascii="Times New Roman" w:cs="Times New Roman" w:hAnsi="Times New Roman"/>
        </w:rPr>
        <w:t>interpretations imply a worldview.</w:t>
      </w:r>
    </w:p>
    <w:p>
      <w:pPr>
        <w:pStyle w:val="style179"/>
        <w:numPr>
          <w:ilvl w:val="0"/>
          <w:numId w:val="1"/>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rPr>
          <w:rFonts w:ascii="Times New Roman" w:cs="Times New Roman" w:hAnsi="Times New Roman"/>
        </w:rPr>
      </w:pPr>
      <w:r>
        <w:rPr>
          <w:rFonts w:ascii="Times New Roman" w:cs="Times New Roman" w:hAnsi="Times New Roman"/>
        </w:rPr>
        <w:t xml:space="preserve">good interpretations tell more about the artwork than they tell about the interpreter </w:t>
      </w:r>
    </w:p>
    <w:p>
      <w:pPr>
        <w:pStyle w:val="style179"/>
        <w:numPr>
          <w:ilvl w:val="0"/>
          <w:numId w:val="1"/>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rPr>
          <w:rFonts w:ascii="Times New Roman" w:cs="Times New Roman" w:hAnsi="Times New Roman"/>
        </w:rPr>
      </w:pPr>
      <w:r>
        <w:rPr>
          <w:rFonts w:ascii="Times New Roman" w:cs="Times New Roman" w:hAnsi="Times New Roman"/>
        </w:rPr>
        <w:t xml:space="preserve">the objects of interpretation are artwork, not artists </w:t>
      </w:r>
    </w:p>
    <w:p>
      <w:pPr>
        <w:pStyle w:val="style179"/>
        <w:numPr>
          <w:ilvl w:val="0"/>
          <w:numId w:val="1"/>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rPr>
          <w:rFonts w:ascii="Times New Roman" w:cs="Times New Roman" w:hAnsi="Times New Roman"/>
        </w:rPr>
      </w:pPr>
      <w:r>
        <w:rPr>
          <w:rFonts w:ascii="Times New Roman" w:cs="Times New Roman" w:hAnsi="Times New Roman"/>
        </w:rPr>
        <w:t xml:space="preserve">all art is in part about the world in which in emerged </w:t>
      </w:r>
    </w:p>
    <w:p>
      <w:pPr>
        <w:pStyle w:val="style179"/>
        <w:numPr>
          <w:ilvl w:val="0"/>
          <w:numId w:val="1"/>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rPr>
          <w:rFonts w:ascii="Times New Roman" w:cs="Times New Roman" w:hAnsi="Times New Roman"/>
        </w:rPr>
      </w:pPr>
      <w:r>
        <w:rPr>
          <w:rFonts w:ascii="Times New Roman" w:cs="Times New Roman" w:hAnsi="Times New Roman"/>
        </w:rPr>
        <w:t xml:space="preserve">all art is in part about other art </w:t>
      </w:r>
    </w:p>
    <w:p>
      <w:pPr>
        <w:pStyle w:val="style179"/>
        <w:numPr>
          <w:ilvl w:val="0"/>
          <w:numId w:val="1"/>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rPr>
          <w:rFonts w:ascii="Times New Roman" w:cs="Times New Roman" w:hAnsi="Times New Roman"/>
        </w:rPr>
      </w:pPr>
      <w:r>
        <w:rPr>
          <w:rFonts w:ascii="Times New Roman" w:cs="Times New Roman" w:hAnsi="Times New Roman"/>
        </w:rPr>
        <w:t xml:space="preserve">some interpretations are better than others. </w:t>
      </w:r>
    </w:p>
    <w:p>
      <w:pPr>
        <w:pStyle w:val="style179"/>
        <w:numPr>
          <w:ilvl w:val="0"/>
          <w:numId w:val="1"/>
        </w:num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rPr>
          <w:rFonts w:ascii="Times New Roman" w:cs="Times New Roman" w:hAnsi="Times New Roman"/>
        </w:rPr>
      </w:pPr>
      <w:r>
        <w:rPr>
          <w:rFonts w:ascii="Times New Roman" w:cs="Times New Roman" w:hAnsi="Times New Roman"/>
        </w:rPr>
        <w:t>good interpretations have coherence, correspondence, and inclusiveness.</w:t>
      </w:r>
    </w:p>
    <w:p>
      <w:pPr>
        <w:pStyle w:val="style179"/>
        <w:numPr>
          <w:ilvl w:val="0"/>
          <w:numId w:val="1"/>
        </w:numPr>
        <w:rPr>
          <w:rFonts w:ascii="Times New Roman" w:cs="Times New Roman" w:hAnsi="Times New Roman"/>
        </w:rPr>
      </w:pPr>
      <w:r>
        <w:rPr>
          <w:rFonts w:ascii="Times New Roman" w:cs="Times New Roman" w:hAnsi="Times New Roman"/>
        </w:rPr>
        <w:t>interpreting art is an endeavor that both individual and communal</w:t>
      </w:r>
    </w:p>
    <w:p>
      <w:pPr>
        <w:pStyle w:val="style179"/>
        <w:numPr>
          <w:ilvl w:val="0"/>
          <w:numId w:val="1"/>
        </w:numPr>
        <w:rPr>
          <w:rFonts w:ascii="Times New Roman" w:cs="Times New Roman" w:hAnsi="Times New Roman"/>
        </w:rPr>
      </w:pPr>
      <w:r>
        <w:rPr>
          <w:rFonts w:ascii="Times New Roman" w:cs="Times New Roman" w:hAnsi="Times New Roman"/>
        </w:rPr>
        <w:t xml:space="preserve">the admissibility of interpretations is ultimately determined by a community of interpreters and the community is self-correcting. </w:t>
      </w:r>
    </w:p>
    <w:p>
      <w:pPr>
        <w:pStyle w:val="style179"/>
        <w:numPr>
          <w:ilvl w:val="0"/>
          <w:numId w:val="1"/>
        </w:numPr>
        <w:rPr>
          <w:rFonts w:ascii="Times New Roman" w:cs="Times New Roman" w:hAnsi="Times New Roman"/>
        </w:rPr>
      </w:pPr>
      <w:r>
        <w:rPr>
          <w:rFonts w:ascii="Times New Roman" w:cs="Times New Roman" w:hAnsi="Times New Roman"/>
        </w:rPr>
        <w:t>Good interpretations invite us to see for ourselves and continue on our own.</w:t>
      </w: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Helvetica Neue" w:cs="Times New Roman" w:eastAsia="Times New Roman" w:hAnsi="Helvetica Neue"/>
          <w:color w:val="1b1b1b"/>
          <w:sz w:val="27"/>
          <w:szCs w:val="27"/>
          <w:shd w:val="clear" w:color="auto" w:fill="ffffff"/>
        </w:rPr>
      </w:pPr>
      <w:r>
        <w:rPr>
          <w:rFonts w:ascii="Helvetica Neue" w:cs="Times New Roman" w:eastAsia="Times New Roman" w:hAnsi="Helvetica Neue"/>
          <w:color w:val="1b1b1b"/>
          <w:sz w:val="27"/>
          <w:szCs w:val="27"/>
          <w:shd w:val="clear" w:color="auto" w:fill="ffffff"/>
        </w:rPr>
        <w:t>Apply the set of principles listed on instructions to three works of art from the text that I'll send in attached files. my score will be determined by your thoroughness, thoughtfulness, and comprehension. THE DUE DATE IS 20 HOURS FROM NOW</w:t>
      </w:r>
    </w:p>
    <w:p>
      <w:pPr>
        <w:pStyle w:val="style0"/>
        <w:rPr>
          <w:rFonts w:ascii="Times New Roman" w:cs="Times New Roman" w:eastAsia="Times New Roman" w:hAnsi="Times New Roman"/>
        </w:rPr>
      </w:pPr>
    </w:p>
    <w:p>
      <w:pPr>
        <w:pStyle w:val="style0"/>
        <w:rPr>
          <w:rFonts w:ascii="Times New Roman" w:cs="Times New Roman" w:eastAsia="Times New Roman" w:hAnsi="Times New Roman"/>
        </w:rPr>
      </w:pPr>
      <w:r>
        <w:rPr>
          <w:rFonts w:ascii="Times New Roman" w:cs="Times New Roman" w:eastAsia="Times New Roman" w:hAnsi="Times New Roman"/>
          <w:color w:val="1b1b1b"/>
          <w:sz w:val="27"/>
          <w:szCs w:val="27"/>
          <w:shd w:val="clear" w:color="auto" w:fill="ffffff"/>
        </w:rPr>
        <w:t>(Whatsup</w:t>
      </w:r>
      <w:r>
        <w:rPr>
          <w:rFonts w:ascii="Times New Roman" w:cs="Times New Roman" w:eastAsia="Times New Roman" w:hAnsi="Times New Roman"/>
          <w:color w:val="1b1b1b"/>
          <w:sz w:val="27"/>
          <w:szCs w:val="27"/>
          <w:shd w:val="clear" w:color="auto" w:fill="ffffff"/>
        </w:rPr>
        <w:t xml:space="preserve"> </w:t>
      </w:r>
      <w:r>
        <w:rPr>
          <w:rFonts w:ascii="Times New Roman" w:cs="Times New Roman" w:eastAsia="Times New Roman" w:hAnsi="Times New Roman"/>
          <w:color w:val="1b1b1b"/>
          <w:sz w:val="27"/>
          <w:szCs w:val="27"/>
          <w:shd w:val="clear" w:color="auto" w:fill="ffffff"/>
        </w:rPr>
        <w:t>+254717025595</w:t>
      </w:r>
      <w:r>
        <w:rPr>
          <w:rFonts w:ascii="Times New Roman" w:cs="Times New Roman" w:eastAsia="Times New Roman" w:hAnsi="Times New Roman"/>
          <w:color w:val="1b1b1b"/>
          <w:sz w:val="27"/>
          <w:szCs w:val="27"/>
          <w:shd w:val="clear" w:color="auto" w:fill="ffffff"/>
        </w:rPr>
        <w:t>)</w:t>
      </w:r>
    </w:p>
    <w:bookmarkStart w:id="0" w:name="_GoBack"/>
    <w:bookmarkEnd w:id="0"/>
    <w:p>
      <w:pPr>
        <w:pStyle w:val="style0"/>
        <w:rPr>
          <w:rFonts w:ascii="Times New Roman" w:cs="Times New Roman" w:hAnsi="Times New Roman"/>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2A87" w:usb1="80000000" w:usb2="00000008" w:usb3="00000000" w:csb0="000001FF" w:csb1="00000000"/>
  </w:font>
  <w:font w:name="Calibri">
    <w:altName w:val="Calibri"/>
    <w:panose1 w:val="020f0502020002030204"/>
    <w:charset w:val="00"/>
    <w:family w:val="swiss"/>
    <w:pitch w:val="variable"/>
    <w:sig w:usb0="A00002EF" w:usb1="4000207B" w:usb2="00000000" w:usb3="00000000" w:csb0="0000009F" w:csb1="00000000"/>
  </w:font>
  <w:font w:name="Arial">
    <w:altName w:val="Arial"/>
    <w:panose1 w:val="020b06040200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4CCC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4"/>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4"/>
        <w:szCs w:val="24"/>
        <w:lang w:val="en-US" w:bidi="ar-SA" w:eastAsia="en-US"/>
      </w:rPr>
    </w:rPrDefault>
    <w:pPrDefault>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Words>255</Words>
  <Characters>1422</Characters>
  <Application>WPS Office</Application>
  <DocSecurity>0</DocSecurity>
  <Paragraphs>26</Paragraphs>
  <ScaleCrop>false</ScaleCrop>
  <LinksUpToDate>false</LinksUpToDate>
  <CharactersWithSpaces>1665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2018-04-30T22:05:00Z</dcterms:created>
  <dc:creator>Alramyan, Abdullah</dc:creator>
  <lastModifiedBy>P5W</lastModifiedBy>
  <dcterms:modified xsi:type="dcterms:W3CDTF">2018-05-03T04:34:27Z</dcterms:modified>
  <revision>1</revision>
</coreProperties>
</file>

<file path=docProps/custom.xml><?xml version="1.0" encoding="utf-8"?>
<Properties xmlns="http://schemas.openxmlformats.org/officeDocument/2006/custom-properties" xmlns:vt="http://schemas.openxmlformats.org/officeDocument/2006/docPropsVTypes"/>
</file>